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14" w:h="882" w:hRule="exact" w:wrap="none" w:vAnchor="page" w:hAnchor="page" w:x="1376" w:y="1198"/>
        <w:widowControl w:val="0"/>
        <w:keepNext w:val="0"/>
        <w:keepLines w:val="0"/>
        <w:shd w:val="clear" w:color="auto" w:fill="auto"/>
        <w:bidi w:val="0"/>
        <w:spacing w:before="0" w:after="0"/>
        <w:ind w:left="674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к Письму Министерства образования и науки Республики Татарстан От 14 мая 2012г. №5856/12</w:t>
      </w:r>
    </w:p>
    <w:p>
      <w:pPr>
        <w:pStyle w:val="Style5"/>
        <w:framePr w:w="9614" w:h="1353" w:hRule="exact" w:wrap="none" w:vAnchor="page" w:hAnchor="page" w:x="1376" w:y="253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Отчет</w:t>
      </w:r>
      <w:bookmarkEnd w:id="0"/>
    </w:p>
    <w:p>
      <w:pPr>
        <w:pStyle w:val="Style5"/>
        <w:framePr w:w="9614" w:h="1353" w:hRule="exact" w:wrap="none" w:vAnchor="page" w:hAnchor="page" w:x="1376" w:y="253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 привлечении и расходовании внебюджетных средств, поступивших в</w:t>
        <w:br/>
        <w:t>МАДОУ «Детский сад №274 комбинированного вида»</w:t>
        <w:br/>
        <w:t>Приволжского района г.Казани в 2013году</w:t>
      </w:r>
      <w:bookmarkEnd w:id="1"/>
    </w:p>
    <w:tbl>
      <w:tblPr>
        <w:tblOverlap w:val="never"/>
        <w:tblLayout w:type="fixed"/>
        <w:jc w:val="left"/>
      </w:tblPr>
      <w:tblGrid>
        <w:gridCol w:w="6936"/>
        <w:gridCol w:w="2678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Наименование показателей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540" w:right="0" w:firstLine="0"/>
            </w:pPr>
            <w:r>
              <w:rPr>
                <w:rStyle w:val="CharStyle7"/>
              </w:rPr>
              <w:t>Тыс.руб.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Количество внебюджетных средств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14" w:h="5995" w:wrap="none" w:vAnchor="page" w:hAnchor="page" w:x="1376" w:y="41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7"/>
              </w:rPr>
              <w:t>В том числе: получено средств от платных образовательных услуг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246743,40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Израсходовано средств-всего: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14" w:h="5995" w:wrap="none" w:vAnchor="page" w:hAnchor="page" w:x="1376" w:y="41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 том числе на: оплату и стимулирование труда работников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202752,52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Укрепление материальной базы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14000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Коммунальные и хозяйственные расходы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16929,51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Прочие нужды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12210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14" w:h="5995" w:wrap="none" w:vAnchor="page" w:hAnchor="page" w:x="1376" w:y="41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14" w:h="5995" w:wrap="none" w:vAnchor="page" w:hAnchor="page" w:x="1376" w:y="41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8"/>
              </w:rPr>
              <w:t>Наименование показателей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Тыс.руб.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8"/>
              </w:rPr>
              <w:t>Количество муниципальных средств выделенных ОУ израсходовано средств-всего: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7675045,91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В том числе на: оплату и стимулирование труда работников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4630875,74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Укрепление материальной базы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115638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Коммунальные и хозяйственные расходы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754570,44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Прочие нужды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614" w:h="5995" w:wrap="none" w:vAnchor="page" w:hAnchor="page" w:x="1376" w:y="41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7"/>
              </w:rPr>
              <w:t>2173961,73</w:t>
            </w:r>
          </w:p>
        </w:tc>
      </w:tr>
    </w:tbl>
    <w:p>
      <w:pPr>
        <w:framePr w:wrap="none" w:vAnchor="page" w:hAnchor="page" w:x="3276" w:y="1026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93pt;height:10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 + 11,5 pt"/>
    <w:basedOn w:val="CharStyle4"/>
    <w:rPr>
      <w:lang w:val="ru-RU" w:eastAsia="ru-RU" w:bidi="ru-RU"/>
      <w:sz w:val="23"/>
      <w:szCs w:val="23"/>
      <w:w w:val="100"/>
      <w:spacing w:val="0"/>
      <w:color w:val="000000"/>
      <w:position w:val="0"/>
    </w:rPr>
  </w:style>
  <w:style w:type="character" w:customStyle="1" w:styleId="CharStyle8">
    <w:name w:val="Основной текст (2) + 11,5 pt,Полужирный"/>
    <w:basedOn w:val="CharStyle4"/>
    <w:rPr>
      <w:lang w:val="ru-RU" w:eastAsia="ru-RU" w:bidi="ru-RU"/>
      <w:b/>
      <w:bCs/>
      <w:sz w:val="23"/>
      <w:szCs w:val="23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right"/>
      <w:spacing w:after="540" w:line="20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before="54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